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87" w:rsidRDefault="005D4887" w:rsidP="005D488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554B5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67.95pt;margin-top:-5.7pt;width:467.85pt;height:57.1pt;z-index:251658240" adj=",18907">
            <v:textbox style="mso-next-textbox:#_x0000_s1026">
              <w:txbxContent>
                <w:p w:rsidR="005D4887" w:rsidRDefault="005D4887" w:rsidP="005D4887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D4887" w:rsidRDefault="005D4887" w:rsidP="005D4887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5D4887" w:rsidRDefault="005D4887" w:rsidP="005D4887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D4887" w:rsidRDefault="005D4887" w:rsidP="005D4887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D4887" w:rsidRDefault="005D4887" w:rsidP="005D4887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5D4887" w:rsidRDefault="005D4887" w:rsidP="005D4887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1554B5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7" type="#_x0000_t97" style="position:absolute;left:0;text-align:left;margin-left:-8.75pt;margin-top:-.55pt;width:81.75pt;height:43.5pt;z-index:251658240">
            <v:textbox style="mso-next-textbox:#_x0000_s1027">
              <w:txbxContent>
                <w:p w:rsidR="005D4887" w:rsidRDefault="005D4887" w:rsidP="005D4887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19.10.2020 г </w:t>
                  </w:r>
                </w:p>
                <w:p w:rsidR="005D4887" w:rsidRDefault="005D4887" w:rsidP="005D4887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18</w:t>
                  </w:r>
                </w:p>
                <w:p w:rsidR="005D4887" w:rsidRDefault="005D4887" w:rsidP="005D4887">
                  <w:pPr>
                    <w:pStyle w:val="a3"/>
                  </w:pPr>
                </w:p>
                <w:p w:rsidR="005D4887" w:rsidRDefault="005D4887" w:rsidP="005D488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5D4887" w:rsidRDefault="005D4887" w:rsidP="005D488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5D4887" w:rsidRDefault="005D4887" w:rsidP="005D488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5D4887" w:rsidRDefault="005D4887" w:rsidP="005D488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5D4887" w:rsidRDefault="005D4887" w:rsidP="005D4887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5D4887" w:rsidRDefault="005D4887" w:rsidP="005D4887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5D4887" w:rsidRDefault="005D4887" w:rsidP="005D4887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5D4887" w:rsidRDefault="005D4887" w:rsidP="005D4887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554B5">
        <w:pict>
          <v:shape id="_x0000_s1028" type="#_x0000_t97" style="position:absolute;margin-left:20.5pt;margin-top:14.55pt;width:495.95pt;height:39.75pt;z-index:251658240">
            <v:textbox style="mso-next-textbox:#_x0000_s1028">
              <w:txbxContent>
                <w:p w:rsidR="005D4887" w:rsidRDefault="005D4887" w:rsidP="005D488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D4887" w:rsidRDefault="005D4887" w:rsidP="005D4887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D4887" w:rsidRDefault="005D4887" w:rsidP="005D4887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5D4887" w:rsidRDefault="005D4887" w:rsidP="005D4887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5D4887" w:rsidRDefault="005D4887" w:rsidP="005D4887">
      <w:pPr>
        <w:pStyle w:val="a3"/>
        <w:ind w:left="-426" w:right="-235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5D4887" w:rsidRDefault="005D4887" w:rsidP="005D4887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5D4887" w:rsidTr="0004476C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4887" w:rsidRDefault="005D4887" w:rsidP="000447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5D4887" w:rsidRPr="005D4887" w:rsidRDefault="005D4887" w:rsidP="005D4887">
            <w:pPr>
              <w:pStyle w:val="a4"/>
              <w:numPr>
                <w:ilvl w:val="0"/>
                <w:numId w:val="2"/>
              </w:numPr>
              <w:spacing w:after="195"/>
              <w:rPr>
                <w:rFonts w:eastAsia="Times New Roman" w:cs="Times New Roman"/>
                <w:bCs/>
                <w:lang w:eastAsia="ru-RU"/>
              </w:rPr>
            </w:pPr>
            <w:r w:rsidRPr="005D4887">
              <w:rPr>
                <w:rFonts w:eastAsia="Times New Roman" w:cs="Times New Roman"/>
                <w:bCs/>
                <w:lang w:eastAsia="ru-RU"/>
              </w:rPr>
              <w:t>Информация прокурора</w:t>
            </w:r>
          </w:p>
          <w:p w:rsidR="005D4887" w:rsidRDefault="005D4887" w:rsidP="0004476C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D4887" w:rsidRPr="00294988" w:rsidRDefault="005D4887" w:rsidP="005D4887">
      <w:pPr>
        <w:spacing w:after="0"/>
        <w:ind w:right="4820"/>
        <w:rPr>
          <w:rFonts w:cs="Times New Roman"/>
          <w:b/>
          <w:szCs w:val="28"/>
        </w:rPr>
      </w:pPr>
      <w:r w:rsidRPr="00294988">
        <w:rPr>
          <w:rFonts w:cs="Times New Roman"/>
          <w:b/>
          <w:szCs w:val="28"/>
        </w:rPr>
        <w:t>ИНФОРМАЦИЯ</w:t>
      </w:r>
      <w:r>
        <w:rPr>
          <w:rFonts w:cs="Times New Roman"/>
          <w:b/>
          <w:szCs w:val="28"/>
        </w:rPr>
        <w:t xml:space="preserve"> </w:t>
      </w:r>
      <w:r w:rsidRPr="00294988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П</w:t>
      </w:r>
      <w:r w:rsidRPr="00294988">
        <w:rPr>
          <w:rFonts w:cs="Times New Roman"/>
          <w:b/>
          <w:szCs w:val="28"/>
        </w:rPr>
        <w:t>РОКУРОРА</w:t>
      </w:r>
    </w:p>
    <w:p w:rsidR="005D4887" w:rsidRPr="00294988" w:rsidRDefault="005D4887" w:rsidP="005D4887">
      <w:pPr>
        <w:spacing w:after="0"/>
        <w:ind w:right="4820"/>
        <w:rPr>
          <w:rFonts w:cs="Times New Roman"/>
          <w:b/>
          <w:szCs w:val="28"/>
        </w:rPr>
      </w:pPr>
    </w:p>
    <w:p w:rsidR="005D4887" w:rsidRPr="0011212E" w:rsidRDefault="005D4887" w:rsidP="005D4887">
      <w:pPr>
        <w:tabs>
          <w:tab w:val="left" w:pos="9637"/>
        </w:tabs>
        <w:spacing w:after="0"/>
        <w:ind w:right="-2" w:firstLine="708"/>
        <w:jc w:val="center"/>
        <w:rPr>
          <w:rFonts w:cs="Times New Roman"/>
          <w:b/>
          <w:szCs w:val="28"/>
        </w:rPr>
      </w:pPr>
      <w:r w:rsidRPr="0011212E">
        <w:rPr>
          <w:rFonts w:cs="Times New Roman"/>
          <w:b/>
        </w:rPr>
        <w:t>1.</w:t>
      </w:r>
      <w:r w:rsidRPr="0011212E">
        <w:rPr>
          <w:rFonts w:cs="Times New Roman"/>
          <w:b/>
          <w:szCs w:val="28"/>
        </w:rPr>
        <w:t>О порядке применения дисциплинарного взыскания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Порядок применения дисциплинарных взысканий установлен ст. 193 Трудового кодекса РФ.</w:t>
      </w:r>
      <w:r>
        <w:rPr>
          <w:sz w:val="28"/>
          <w:szCs w:val="28"/>
        </w:rPr>
        <w:t xml:space="preserve"> </w:t>
      </w:r>
      <w:r w:rsidRPr="00B608ED">
        <w:rPr>
          <w:sz w:val="28"/>
          <w:szCs w:val="28"/>
        </w:rPr>
        <w:t>Согласно данной статье работодатель до применения дисциплинарного взыскания должен затребовать от работника письменное объяснение. Такое объяснение необходимо для выяснения всех обстоятельств совершения дисциплинарного проступка, его противоправности, а также степени вины работника, совершившего проступок. Если по истечении двух рабочих дней указанное объяснение работником не предоставлено, то составляется соответствующий акт.</w:t>
      </w:r>
      <w:r>
        <w:rPr>
          <w:sz w:val="28"/>
          <w:szCs w:val="28"/>
        </w:rPr>
        <w:t xml:space="preserve"> </w:t>
      </w:r>
      <w:r w:rsidRPr="00B608ED">
        <w:rPr>
          <w:sz w:val="28"/>
          <w:szCs w:val="28"/>
        </w:rPr>
        <w:t>Отказ работника дать письменное объяснение не может служить препятствием для применения взыскания. В случае спора о правомерности применения дисциплинарного взыскания такой акт будет служить доказательством соблюдения работодателем правил привлечения к дисциплинарной ответственности.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За каждый дисциплинарный проступок к работнику может быть применено только одно дисциплинарное взыскание. Однако в тех случаях, когда неисполнение или ненадлежащее исполнение по вине работника возложенных на него трудовых обязанн</w:t>
      </w:r>
      <w:r>
        <w:rPr>
          <w:sz w:val="28"/>
          <w:szCs w:val="28"/>
        </w:rPr>
        <w:t>остей продолжается</w:t>
      </w:r>
      <w:r w:rsidRPr="00B608ED">
        <w:rPr>
          <w:sz w:val="28"/>
          <w:szCs w:val="28"/>
        </w:rPr>
        <w:t>, несмотря на наложение дисциплинарного взыскания, возможно применение к работнику нового дисциплинарного взыскания, в том числе и увольнение по п. 5 ч. 1 ст. 81 Трудового кодекса РФ.</w:t>
      </w:r>
    </w:p>
    <w:p w:rsidR="005D4887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 xml:space="preserve">Работодатель вправе применить к работнику дисциплинарное взыскание за дисциплинарный проступок и тогда, когда он до совершения проступка подал заявление о расторжении трудового договора по </w:t>
      </w:r>
      <w:r w:rsidRPr="00B608ED">
        <w:rPr>
          <w:sz w:val="28"/>
          <w:szCs w:val="28"/>
        </w:rPr>
        <w:lastRenderedPageBreak/>
        <w:t>собственному желанию, поскольку трудовые отношения в данном случае прекращаются лишь по истечении срока предупреждения об увольнении.</w:t>
      </w: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B608ED">
        <w:rPr>
          <w:b/>
          <w:bCs/>
          <w:sz w:val="28"/>
          <w:szCs w:val="28"/>
        </w:rPr>
        <w:t>Взыскание задолженности за предоставленные коммунальные услуги.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В соответствии с </w:t>
      </w:r>
      <w:proofErr w:type="gramStart"/>
      <w:r w:rsidRPr="00B608ED">
        <w:rPr>
          <w:rFonts w:eastAsia="Times New Roman" w:cs="Times New Roman"/>
          <w:szCs w:val="28"/>
          <w:lang w:eastAsia="ru-RU"/>
        </w:rPr>
        <w:t>ч</w:t>
      </w:r>
      <w:proofErr w:type="gramEnd"/>
      <w:r w:rsidRPr="00B608ED">
        <w:rPr>
          <w:rFonts w:eastAsia="Times New Roman" w:cs="Times New Roman"/>
          <w:szCs w:val="28"/>
          <w:lang w:eastAsia="ru-RU"/>
        </w:rPr>
        <w:t xml:space="preserve">. 1 ст. 153 Жилищного кодекса Российской Федерации граждане обязаны своевременно и полностью вносить плату за жилое помещение и коммунальные услуги. 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Задолженность по коммунальным платежам с физических лиц может быть взыскана в судебном порядке путем обращения в суд общей юрисдикции в рамках приказного или искового производства. 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Также законом урегулирована возможность реструктуризации задолженности должника перед кредитором путем заключения соглашения о предоставлении отсрочки или рассрочки платежей. Например, жилец может заключить соглашение с поставщиком и оплатить сначала пеню или часть основного долга. 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В порядке приказного производства задолженность по оплате коммунальных услуг подлежит взысканию с гражданина в случае, если ее размер не превышает 500 000 рублей. 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В соответствии с ч. 1 ст. 121, ст. 122 </w:t>
      </w:r>
      <w:proofErr w:type="spellStart"/>
      <w:r w:rsidRPr="00B608ED">
        <w:rPr>
          <w:rFonts w:eastAsia="Times New Roman" w:cs="Times New Roman"/>
          <w:szCs w:val="28"/>
          <w:lang w:eastAsia="ru-RU"/>
        </w:rPr>
        <w:t>Гражданск</w:t>
      </w:r>
      <w:proofErr w:type="gramStart"/>
      <w:r w:rsidRPr="00B608ED">
        <w:rPr>
          <w:rFonts w:eastAsia="Times New Roman" w:cs="Times New Roman"/>
          <w:szCs w:val="28"/>
          <w:lang w:eastAsia="ru-RU"/>
        </w:rPr>
        <w:t>о</w:t>
      </w:r>
      <w:proofErr w:type="spellEnd"/>
      <w:r w:rsidRPr="00B608ED">
        <w:rPr>
          <w:rFonts w:eastAsia="Times New Roman" w:cs="Times New Roman"/>
          <w:szCs w:val="28"/>
          <w:lang w:eastAsia="ru-RU"/>
        </w:rPr>
        <w:t>-</w:t>
      </w:r>
      <w:proofErr w:type="gramEnd"/>
      <w:r w:rsidRPr="00B608ED">
        <w:rPr>
          <w:rFonts w:eastAsia="Times New Roman" w:cs="Times New Roman"/>
          <w:szCs w:val="28"/>
          <w:lang w:eastAsia="ru-RU"/>
        </w:rPr>
        <w:t xml:space="preserve"> процессуального кодекса Российской Федерации для взыскания задолженности кредитор должен обратиться в суд с заявлением о вынесении судебного приказа.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B608ED">
        <w:rPr>
          <w:rFonts w:eastAsia="Times New Roman" w:cs="Times New Roman"/>
          <w:szCs w:val="28"/>
          <w:lang w:eastAsia="ru-RU"/>
        </w:rPr>
        <w:t>,</w:t>
      </w:r>
      <w:proofErr w:type="gramEnd"/>
      <w:r w:rsidRPr="00B608ED">
        <w:rPr>
          <w:rFonts w:eastAsia="Times New Roman" w:cs="Times New Roman"/>
          <w:szCs w:val="28"/>
          <w:lang w:eastAsia="ru-RU"/>
        </w:rPr>
        <w:t xml:space="preserve"> если размер задолженности по оплате коммунальных услуг превышает 500 000 рублей, либо если при рассмотрении спора в рамках приказного производства от должника поступили возражения относительно судебного приказа, необходимо обращаться в суд в порядке искового производства. 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На любой стадии рассмотрения дела спор между должником и кредитором можно урегулировать, заключив мировое соглашение.  Документ должен регламентировать порядок и сроки исполнения обязательств должника в денежной форме. С согласия кредитора мировым соглашением может быть уменьшен размер пени или увеличен срок уплаты задолженности. В случае заключения такого соглашения, суд выносит определение о прекращении производства по делу. </w:t>
      </w:r>
    </w:p>
    <w:p w:rsidR="005D4887" w:rsidRPr="00B608ED" w:rsidRDefault="005D4887" w:rsidP="005D4887">
      <w:pPr>
        <w:spacing w:after="0"/>
        <w:rPr>
          <w:rFonts w:cs="Times New Roman"/>
          <w:szCs w:val="28"/>
        </w:rPr>
      </w:pP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Default="005D4887" w:rsidP="005D4887">
      <w:pPr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D4887" w:rsidRDefault="005D4887" w:rsidP="005D4887">
      <w:pPr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3. </w:t>
      </w:r>
      <w:r w:rsidRPr="00B608ED">
        <w:rPr>
          <w:rFonts w:eastAsia="Times New Roman" w:cs="Times New Roman"/>
          <w:b/>
          <w:bCs/>
          <w:szCs w:val="28"/>
          <w:lang w:eastAsia="ru-RU"/>
        </w:rPr>
        <w:t xml:space="preserve">Порядок возврата уплаченной государственной пошлины </w:t>
      </w:r>
    </w:p>
    <w:p w:rsidR="005D4887" w:rsidRPr="00B608ED" w:rsidRDefault="005D4887" w:rsidP="005D4887">
      <w:pPr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B608ED">
        <w:rPr>
          <w:rFonts w:eastAsia="Times New Roman" w:cs="Times New Roman"/>
          <w:b/>
          <w:bCs/>
          <w:szCs w:val="28"/>
          <w:lang w:eastAsia="ru-RU"/>
        </w:rPr>
        <w:t xml:space="preserve">по </w:t>
      </w:r>
      <w:r>
        <w:rPr>
          <w:rFonts w:eastAsia="Times New Roman" w:cs="Times New Roman"/>
          <w:b/>
          <w:bCs/>
          <w:szCs w:val="28"/>
          <w:lang w:eastAsia="ru-RU"/>
        </w:rPr>
        <w:t>делам, рассматриваемым в судах.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lastRenderedPageBreak/>
        <w:t>Уплаченная государственная пошлина по делам, рассматриваемым в судах, а также мировыми судьями в соответствии с нормами Налогового кодекса РФ подлежит возврату частично или полностью в случае:</w:t>
      </w:r>
    </w:p>
    <w:p w:rsidR="005D4887" w:rsidRPr="00B608ED" w:rsidRDefault="005D4887" w:rsidP="005D4887">
      <w:pPr>
        <w:spacing w:after="0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1) уплаты государственной пошлины в большем размере, чем это предусмотрено;</w:t>
      </w:r>
    </w:p>
    <w:p w:rsidR="005D4887" w:rsidRPr="00B608ED" w:rsidRDefault="005D4887" w:rsidP="005D4887">
      <w:pPr>
        <w:spacing w:after="0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2) возвращения заявления, жалобы или иного обращения или отказа в их принятии судами. Если государственная пошлина не возвращена, ее сумма засчитывается в счет уплаты государственной пошлины при повторном предъявлении иска, если не истек трехгодичный срок со дня вынесения предыдущего решения и к повторному иску приложен первоначальный документ об уплате государственной пошлины;</w:t>
      </w:r>
    </w:p>
    <w:p w:rsidR="005D4887" w:rsidRPr="00B608ED" w:rsidRDefault="005D4887" w:rsidP="005D4887">
      <w:pPr>
        <w:spacing w:after="0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3) прекращения производства по делу или оставления заявления без рассмотрения.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Заявление о возврате излишне уплаченной (взысканной) суммы государственной пошлины по делам, рассматриваемым в судах, а также мировыми судьями, подается плательщиком государственной пошлины в налоговый орган по месту нахождения суда, в котором рассматривалось дело.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B608ED">
        <w:rPr>
          <w:rFonts w:eastAsia="Times New Roman" w:cs="Times New Roman"/>
          <w:szCs w:val="28"/>
          <w:lang w:eastAsia="ru-RU"/>
        </w:rPr>
        <w:t>К заявлению о возврате излишне уплаченной (взысканной) суммы государственной пошлины по делам, рассматриваемым судами общей юрисдикции, мировыми судьями, прилагаются решения, определения и справки судов об обстоятельствах, являющихся основанием для полного или частичного возврата излишне уплаченной (взысканной) суммы государственной пошлины, а также подлинные платежные документы в случае, если государственная пошлина подлежит возврату в полном размере, а в случае, если она подлежит</w:t>
      </w:r>
      <w:proofErr w:type="gramEnd"/>
      <w:r w:rsidRPr="00B608ED">
        <w:rPr>
          <w:rFonts w:eastAsia="Times New Roman" w:cs="Times New Roman"/>
          <w:szCs w:val="28"/>
          <w:lang w:eastAsia="ru-RU"/>
        </w:rPr>
        <w:t xml:space="preserve"> возврату частично, - копии указанных платежных документов.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Заявление о возврате излишне уплаченной (взысканной) суммы государственной пошлины может быть подано в течение трех лет со дня уплаты указанной суммы.</w:t>
      </w:r>
    </w:p>
    <w:p w:rsidR="005D4887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Возврат излишне уплаченной (взысканной) суммы государственной пошлины осуществляется органом Федерального казначейства в течение одного месяца со дня подачи указанного заявления о возврате. </w:t>
      </w:r>
    </w:p>
    <w:p w:rsidR="005D4887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5D4887" w:rsidRPr="00B608ED" w:rsidRDefault="005D4887" w:rsidP="005D488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08ED">
        <w:rPr>
          <w:sz w:val="28"/>
          <w:szCs w:val="28"/>
        </w:rPr>
        <w:t>Права потерпевшего в уголовном процессе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Потерпевшим признается физическое лицо, которому преступлением причинен физический, имущественный, моральный вред, а также организация, когда речь идет о вреде ее имуществу и деловой репутации.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lastRenderedPageBreak/>
        <w:t>Решение о признании потерпевшим оформляется постановлением дознавателя, следователя, судьи.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Основными процессуальными права потерпевшего, предусмотренными ст. 42 Уголовно-процессуального кодекса РФ, являются: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представлять доказательства по уголовному делу;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давать показания на родном языке или языке, которым он владеет, при этом пользоваться помощью переводчика бесплатно;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заявлять ходатайства и отводы;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иметь представителя;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ходатайствовать о применении мер безопасности;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знакомиться по окончании расследования со всеми материалами уголовного дела;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участвовать в судебном разбирательстве;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поддерживать обвинение;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знакомиться с протоколом и аудиозаписью судебного заседания и подавать на них замечания;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приносить жалобы на действия (бездействие) дознавателя, следователя, прокурора и суда;</w:t>
      </w:r>
    </w:p>
    <w:p w:rsidR="005D4887" w:rsidRPr="00B608ED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- обжаловать приговор и иное решение суда.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Потерпевшему обеспечивается возмещение имущественного и морального вреда, причиненного преступлением, а также расходов в связи с его участием в ходе предварительного расследования и в суде, включая расходы на оплату услуг представителя. По требованию потерпевшего моральный вред может быть возмещен в денежном выражении, размер которого определяется судом.</w:t>
      </w:r>
    </w:p>
    <w:p w:rsidR="005D4887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Помощник Барабинского  межрайонного прокурора  О.В. </w:t>
      </w:r>
      <w:proofErr w:type="spellStart"/>
      <w:r>
        <w:rPr>
          <w:sz w:val="28"/>
          <w:szCs w:val="28"/>
        </w:rPr>
        <w:t>Мамека</w:t>
      </w:r>
      <w:proofErr w:type="spellEnd"/>
    </w:p>
    <w:p w:rsidR="005D4887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D4887" w:rsidRDefault="005D4887" w:rsidP="005D488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5. Гарантии при направлении работников в служебные командировки</w:t>
      </w:r>
    </w:p>
    <w:p w:rsidR="005D4887" w:rsidRDefault="005D4887" w:rsidP="005D4887">
      <w:pPr>
        <w:spacing w:after="0"/>
        <w:ind w:firstLine="708"/>
        <w:rPr>
          <w:szCs w:val="28"/>
        </w:rPr>
      </w:pPr>
      <w:r>
        <w:rPr>
          <w:szCs w:val="28"/>
        </w:rPr>
        <w:t xml:space="preserve">Служебная командировка – это поездка работника по распоряжению работодателя на определенный период времени для выполнения трудовых обязанностей вне места постоянной работы. </w:t>
      </w:r>
    </w:p>
    <w:p w:rsidR="005D4887" w:rsidRDefault="005D4887" w:rsidP="005D4887">
      <w:pPr>
        <w:spacing w:after="0"/>
        <w:ind w:firstLine="708"/>
        <w:rPr>
          <w:szCs w:val="28"/>
        </w:rPr>
      </w:pPr>
      <w:r>
        <w:rPr>
          <w:szCs w:val="28"/>
        </w:rPr>
        <w:t xml:space="preserve">При направлении работника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служ</w:t>
      </w:r>
      <w:bookmarkStart w:id="0" w:name="_GoBack"/>
      <w:bookmarkEnd w:id="0"/>
      <w:r>
        <w:rPr>
          <w:szCs w:val="28"/>
        </w:rPr>
        <w:t xml:space="preserve">ебную командировку ему гарантируется сохранение места работы и среднего заработка, а также возмещение расходов, связанных со служебной поездкой. </w:t>
      </w:r>
    </w:p>
    <w:p w:rsidR="005D4887" w:rsidRDefault="005D4887" w:rsidP="005D4887">
      <w:pPr>
        <w:spacing w:after="0"/>
        <w:rPr>
          <w:szCs w:val="28"/>
        </w:rPr>
      </w:pPr>
      <w:r>
        <w:rPr>
          <w:szCs w:val="28"/>
        </w:rPr>
        <w:t>Возмещаются следующие расходы:</w:t>
      </w:r>
    </w:p>
    <w:p w:rsidR="005D4887" w:rsidRDefault="005D4887" w:rsidP="005D4887">
      <w:pPr>
        <w:spacing w:after="0"/>
        <w:rPr>
          <w:szCs w:val="28"/>
        </w:rPr>
      </w:pPr>
      <w:r>
        <w:rPr>
          <w:szCs w:val="28"/>
        </w:rPr>
        <w:t>1) проезд;</w:t>
      </w:r>
    </w:p>
    <w:p w:rsidR="005D4887" w:rsidRDefault="005D4887" w:rsidP="005D4887">
      <w:pPr>
        <w:spacing w:after="0"/>
        <w:rPr>
          <w:szCs w:val="28"/>
        </w:rPr>
      </w:pPr>
      <w:r>
        <w:rPr>
          <w:szCs w:val="28"/>
        </w:rPr>
        <w:t>2) затраты по найму жилого помещения;</w:t>
      </w:r>
    </w:p>
    <w:p w:rsidR="005D4887" w:rsidRDefault="005D4887" w:rsidP="005D4887">
      <w:pPr>
        <w:spacing w:after="0"/>
        <w:rPr>
          <w:szCs w:val="28"/>
        </w:rPr>
      </w:pPr>
      <w:r>
        <w:rPr>
          <w:szCs w:val="28"/>
        </w:rPr>
        <w:t>3) проживание (суточные);</w:t>
      </w:r>
    </w:p>
    <w:p w:rsidR="005D4887" w:rsidRDefault="005D4887" w:rsidP="005D4887">
      <w:pPr>
        <w:spacing w:after="0"/>
        <w:rPr>
          <w:szCs w:val="28"/>
        </w:rPr>
      </w:pPr>
      <w:r>
        <w:rPr>
          <w:szCs w:val="28"/>
        </w:rPr>
        <w:t>4) иные расходы, согласованные с работодателем.</w:t>
      </w:r>
    </w:p>
    <w:p w:rsidR="005D4887" w:rsidRDefault="005D4887" w:rsidP="005D4887">
      <w:pPr>
        <w:spacing w:after="0"/>
        <w:ind w:firstLine="708"/>
        <w:rPr>
          <w:szCs w:val="28"/>
        </w:rPr>
      </w:pPr>
      <w:r>
        <w:rPr>
          <w:szCs w:val="28"/>
        </w:rPr>
        <w:lastRenderedPageBreak/>
        <w:t xml:space="preserve">Размер и порядок возмещения расходов, связанных со служебными командировками, определяются коллективными договорами (соглашениями) или иным локальным нормативным актом. </w:t>
      </w:r>
    </w:p>
    <w:p w:rsidR="005D4887" w:rsidRDefault="005D4887" w:rsidP="005D4887">
      <w:pPr>
        <w:spacing w:after="0"/>
        <w:ind w:firstLine="708"/>
        <w:rPr>
          <w:szCs w:val="28"/>
        </w:rPr>
      </w:pPr>
      <w:r>
        <w:rPr>
          <w:b/>
          <w:i/>
          <w:szCs w:val="28"/>
        </w:rPr>
        <w:t>Важно!</w:t>
      </w:r>
      <w:r>
        <w:rPr>
          <w:szCs w:val="28"/>
        </w:rPr>
        <w:t xml:space="preserve"> Служебные поездки работников, постоянная работа которых осуществляется в пути или имеет разъездной характер, не признаётся служебной командировкой. </w:t>
      </w:r>
    </w:p>
    <w:p w:rsidR="005D4887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Барабинского  межрайонного прокурора  Е.А. </w:t>
      </w:r>
      <w:proofErr w:type="spellStart"/>
      <w:r>
        <w:rPr>
          <w:sz w:val="28"/>
          <w:szCs w:val="28"/>
        </w:rPr>
        <w:t>Шкалоберда</w:t>
      </w:r>
      <w:proofErr w:type="spellEnd"/>
    </w:p>
    <w:p w:rsidR="005D4887" w:rsidRDefault="005D4887" w:rsidP="005D488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D4887" w:rsidRDefault="005D4887" w:rsidP="005D4887">
      <w:pPr>
        <w:pStyle w:val="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6.  С</w:t>
      </w:r>
      <w:r w:rsidRPr="00B608ED">
        <w:rPr>
          <w:sz w:val="28"/>
          <w:szCs w:val="28"/>
        </w:rPr>
        <w:t>ущественные условия договора</w:t>
      </w:r>
    </w:p>
    <w:p w:rsidR="005D4887" w:rsidRPr="00B608ED" w:rsidRDefault="005D4887" w:rsidP="005D4887">
      <w:pPr>
        <w:pStyle w:val="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608ED">
        <w:rPr>
          <w:sz w:val="28"/>
          <w:szCs w:val="28"/>
        </w:rPr>
        <w:t>участия в долевом строительстве.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Граждане и юридические лица свободны в заключени</w:t>
      </w:r>
      <w:proofErr w:type="gramStart"/>
      <w:r w:rsidRPr="00B608ED">
        <w:rPr>
          <w:sz w:val="28"/>
          <w:szCs w:val="28"/>
        </w:rPr>
        <w:t>и</w:t>
      </w:r>
      <w:proofErr w:type="gramEnd"/>
      <w:r w:rsidRPr="00B608ED">
        <w:rPr>
          <w:sz w:val="28"/>
          <w:szCs w:val="28"/>
        </w:rPr>
        <w:t xml:space="preserve"> договора. Исключением из данного правила является случай, когда содержание соответствующего условия предписано законом или иными правовыми актами.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Существенные условия договора участия в долевом строительстве определены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о долевом строительстве).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В обязательном порядке договор участия в долевом строительстве должен содержать определение подлежащего передаче конкретного объекта долевого строительства, срок его передачи участнику строительства, цену договора, сроки и порядок ее уплаты, гарантийный срок на объект долевого строительства, условие привлечения денежных средств.  При отсутствии в договоре указанных условий такой договор считается незаключенным.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Не допускается включение в договор условий, ущемляющих права участника строительства.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Так, включение в договор участия в долевом строительстве условий о заблаговременной оплате, либо компенсации застройщику затрат на коммунальные услуги и (или) за содержание жилья до момента передачи помещения, о безусловной обязанности принять объект недвижимости, об освобождении застройщика от гарантийных обязатель</w:t>
      </w:r>
      <w:proofErr w:type="gramStart"/>
      <w:r w:rsidRPr="00B608ED">
        <w:rPr>
          <w:sz w:val="28"/>
          <w:szCs w:val="28"/>
        </w:rPr>
        <w:t>ств пр</w:t>
      </w:r>
      <w:proofErr w:type="gramEnd"/>
      <w:r w:rsidRPr="00B608ED">
        <w:rPr>
          <w:sz w:val="28"/>
          <w:szCs w:val="28"/>
        </w:rPr>
        <w:t>отиворечат действующему законодательству.</w:t>
      </w:r>
    </w:p>
    <w:p w:rsidR="005D4887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608ED">
        <w:rPr>
          <w:sz w:val="28"/>
          <w:szCs w:val="28"/>
        </w:rPr>
        <w:t xml:space="preserve">Следует учитывать, что на основании ч. 2 ст. 14.8 Кодекса Российской Федерации об административных правонарушениях включение в договор условий, ущемляющих права потребителя, установленные законодательством о защите прав потребителей, влечет наложение административного штрафа на должностных лиц в размере от одной тысячи до двух тысяч рублей, на юридических лиц - от десяти тысяч до двадцати тысяч рублей. </w:t>
      </w:r>
      <w:proofErr w:type="gramEnd"/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Default="005D4887" w:rsidP="005D488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5D4887" w:rsidRPr="00B608ED" w:rsidRDefault="005D4887" w:rsidP="005D488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608ED">
        <w:rPr>
          <w:sz w:val="28"/>
          <w:szCs w:val="28"/>
        </w:rPr>
        <w:t>Осужденный к лишению свободы может перевестись в колонию, расположенную ближе к месту жительства своих родственников.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lastRenderedPageBreak/>
        <w:t>Согласно положениям уголовно-исполнительного кодекса Российской Федерации, до внесения изменений, осужденные направлялись отбывать наказание в исправительные учреждения в пределах того субъекта Российской Федерации, в котором они проживали или были осуждены. При этом в случае отсутствия в этих регионах исправительного учреждения или при невозможности размещения в имеющихся учреждениях, осужденного направляли на территорию любого другого субъекта РФ, в котором имелись условия для размещения.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С 29 сентября 2020 года</w:t>
      </w:r>
      <w:r w:rsidRPr="00B608ED">
        <w:rPr>
          <w:rFonts w:eastAsia="Times New Roman" w:cs="Times New Roman"/>
          <w:szCs w:val="28"/>
          <w:lang w:eastAsia="ru-RU"/>
        </w:rPr>
        <w:t xml:space="preserve"> вступили в законную силу изменения, внесенные в ст. 73 Уголовно-исполнительного кодекса Российской Федерации, согласно которым осужденные имеют право перевестись в колонии, расположенные ближе к месту жительства своих ближайших родственников: супруга или супруги, родителей, детей, дедушки и бабушки, внуков, усыновителей или усыновленных детей. </w:t>
      </w:r>
      <w:proofErr w:type="gramEnd"/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Решение о размещении осужденного в определенном исправительном учреждении принимается ФСИН России на основании письменного заявления осужденного либо его близких родственников. В случае невозможности размещения осужденного на территории указанного им субъекта, осужденный будет размещен в ближайшее исправительное учреждение, расположенное на территории другого субъекта Российской Федерации наиболее близко расположенного к месту жительства данного близкого родственника, в котором имеются условия для размещения осужденного. 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 xml:space="preserve">Так же, при наличии возможности размещения осужденного один раз в период отбывания наказания он может быть переведен для дальнейшего отбывания наказания из одного исправительного учреждения в другое того же вида, расположенное на территории субъекта Российской Федерации, в котором проживает один из его близких родственников. </w:t>
      </w:r>
    </w:p>
    <w:p w:rsidR="005D4887" w:rsidRDefault="005D4887" w:rsidP="005D4887">
      <w:pPr>
        <w:spacing w:after="0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szCs w:val="28"/>
          <w:lang w:eastAsia="ru-RU"/>
        </w:rPr>
        <w:t> </w:t>
      </w: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Pr="00B608ED" w:rsidRDefault="005D4887" w:rsidP="005D4887">
      <w:pPr>
        <w:spacing w:after="0"/>
        <w:rPr>
          <w:rFonts w:eastAsia="Times New Roman" w:cs="Times New Roman"/>
          <w:szCs w:val="28"/>
          <w:lang w:eastAsia="ru-RU"/>
        </w:rPr>
      </w:pPr>
    </w:p>
    <w:p w:rsidR="005D4887" w:rsidRDefault="005D4887" w:rsidP="005D4887">
      <w:pPr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8. </w:t>
      </w:r>
      <w:r w:rsidRPr="00B608ED">
        <w:rPr>
          <w:rFonts w:eastAsia="Times New Roman" w:cs="Times New Roman"/>
          <w:b/>
          <w:bCs/>
          <w:szCs w:val="28"/>
          <w:lang w:eastAsia="ru-RU"/>
        </w:rPr>
        <w:t xml:space="preserve">Запрет продажи несовершеннолетним </w:t>
      </w:r>
    </w:p>
    <w:p w:rsidR="005D4887" w:rsidRPr="00B608ED" w:rsidRDefault="005D4887" w:rsidP="005D4887">
      <w:pPr>
        <w:spacing w:after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B608ED">
        <w:rPr>
          <w:rFonts w:eastAsia="Times New Roman" w:cs="Times New Roman"/>
          <w:b/>
          <w:bCs/>
          <w:szCs w:val="28"/>
          <w:lang w:eastAsia="ru-RU"/>
        </w:rPr>
        <w:t>никотиносодержащей</w:t>
      </w:r>
      <w:proofErr w:type="spellEnd"/>
      <w:r w:rsidRPr="00B608ED">
        <w:rPr>
          <w:rFonts w:eastAsia="Times New Roman" w:cs="Times New Roman"/>
          <w:b/>
          <w:bCs/>
          <w:szCs w:val="28"/>
          <w:lang w:eastAsia="ru-RU"/>
        </w:rPr>
        <w:t xml:space="preserve"> продукции, табачных изделий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На территории Российской Федерации запрещена оптовая или розничная продажа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насвая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пищевой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продукции или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снюса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), а также продажа несовершеннолетнему табачной продукции, табачных изделий,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продукции, кальянов, устрой</w:t>
      </w:r>
      <w:proofErr w:type="gram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ств дл</w:t>
      </w:r>
      <w:proofErr w:type="gram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я потребления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продукции.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За несоблюдение ограничений и нарушение запретов в сфере торговли табачной продукцией и табачными изделиями для граждан, должностных и юридических лиц предусмотрена административная ответственность согласно статье 14.53 Кодекса Российской Федерации об административных правонарушениях.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Федеральным законом от 31.07.2020 N 278-ФЗ в статью 14.53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КоАП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РФ внесены изменения, согласно которым значительно увеличены размеры административных штрафов за продажу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насвая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снюса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а также за продажу несовершеннолетним табачной продукции, табачных изделий</w:t>
      </w:r>
      <w:proofErr w:type="gram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  <w:proofErr w:type="gram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</w:t>
      </w:r>
      <w:proofErr w:type="gram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икотинсодержащей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продукции, кальянов, устройств для потребления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продукции.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Так, продажа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насвая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табака сосательного (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снюса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) теперь влечет наложение штрафа на виновных граждан в размере от 15 000 до 20 000 рублей, должностных лиц – от 30 000 до 50 000 рублей, юридических лиц – от 100 000 до 150 000 рублей.</w:t>
      </w:r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 случае продажи несовершеннолетнему табачной продукции или табачных изделий граждане будут оштрафованы на сумму от 20 000 до 40 000 рублей; должностные лица - от 40 000 до 70 000 рублей; юридические лица - от 150 000 до 300 000 рублей.</w:t>
      </w:r>
    </w:p>
    <w:p w:rsidR="005D4887" w:rsidRPr="00A0645F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Изменения федерального законодательства, ужесточающие ответственность за продажу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насвая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снюса</w:t>
      </w:r>
      <w:proofErr w:type="spellEnd"/>
      <w:r w:rsidRPr="00B608E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а также за продажу несовершеннолетним табачной продукции (изделий) вступили в силу с 11 августа 2020 года.</w:t>
      </w: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Pr="00B608ED" w:rsidRDefault="005D4887" w:rsidP="005D4887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:rsidR="005D4887" w:rsidRPr="00B608ED" w:rsidRDefault="005D4887" w:rsidP="005D4887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 w:rsidRPr="00B608ED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9. </w:t>
      </w:r>
      <w:r w:rsidRPr="00B608ED">
        <w:rPr>
          <w:sz w:val="28"/>
          <w:szCs w:val="28"/>
        </w:rPr>
        <w:t>С 1 января для такси начнут действовать новые правила перевозки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  <w:shd w:val="clear" w:color="auto" w:fill="FFFFFF"/>
        </w:rPr>
        <w:t xml:space="preserve">Постановлением Правительства РФ от 01.10.2020 № 1586 обновлены правила перевозок автомобильным транспортом и городским наземным электрическим транспортом. Изменения затронули и такси. 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  <w:shd w:val="clear" w:color="auto" w:fill="FFFFFF"/>
        </w:rPr>
        <w:t>Появится обязанность хранить не меньше 6 месяцев сведения из журнала регистрации заказов. Его можно вести в бумажном или электронном виде.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  <w:shd w:val="clear" w:color="auto" w:fill="FFFFFF"/>
        </w:rPr>
        <w:t>До подачи такси пассажиру нужно сообщить, в частности, номер заказа, наименование перевозчика, размер платы, планируемое время прибытия.</w:t>
      </w:r>
      <w:r>
        <w:rPr>
          <w:sz w:val="28"/>
          <w:szCs w:val="28"/>
          <w:shd w:val="clear" w:color="auto" w:fill="FFFFFF"/>
        </w:rPr>
        <w:t xml:space="preserve"> </w:t>
      </w:r>
      <w:r w:rsidRPr="00B608ED">
        <w:rPr>
          <w:sz w:val="28"/>
          <w:szCs w:val="28"/>
          <w:shd w:val="clear" w:color="auto" w:fill="FFFFFF"/>
        </w:rPr>
        <w:t>Клиенту необходимо выдать чек, в том числе электронный.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  <w:shd w:val="clear" w:color="auto" w:fill="FFFFFF"/>
        </w:rPr>
        <w:t xml:space="preserve">Также изменится список информации для размещения на передней панели справа от водителя. Нужно будет указать не только наименование фрахтовщика, но и его адрес и телефоны, номер разрешения на таксистскую деятельность и орган, который выдал это разрешение. Зато больше не потребуется размещать визитную карточку водителя с фото и сведения о контролирующем перевозки органе. Если в салоне нет указанной информации, должностное или юридическое лицо может быть привлечено к </w:t>
      </w:r>
      <w:r w:rsidRPr="00B608ED">
        <w:rPr>
          <w:sz w:val="28"/>
          <w:szCs w:val="28"/>
          <w:shd w:val="clear" w:color="auto" w:fill="FFFFFF"/>
        </w:rPr>
        <w:lastRenderedPageBreak/>
        <w:t>административной ответственности. Размеры штрафа варьируются от 10 до 30 тысяч рублей.</w:t>
      </w:r>
    </w:p>
    <w:p w:rsidR="005D4887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608ED">
        <w:rPr>
          <w:sz w:val="28"/>
          <w:szCs w:val="28"/>
          <w:shd w:val="clear" w:color="auto" w:fill="FFFFFF"/>
        </w:rPr>
        <w:t>Изменения будут действовать с 1 января 2021 года до 1 января 2027 года.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D4887" w:rsidRDefault="005D4887" w:rsidP="005D4887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Барабинского  межрайонного прокурора  О.В. </w:t>
      </w:r>
      <w:proofErr w:type="spellStart"/>
      <w:r>
        <w:rPr>
          <w:rFonts w:cs="Times New Roman"/>
          <w:szCs w:val="28"/>
        </w:rPr>
        <w:t>Мамека</w:t>
      </w:r>
      <w:proofErr w:type="spellEnd"/>
    </w:p>
    <w:p w:rsidR="005D4887" w:rsidRDefault="005D4887" w:rsidP="005D4887">
      <w:pPr>
        <w:pStyle w:val="2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5D4887" w:rsidRDefault="005D4887" w:rsidP="005D4887">
      <w:pPr>
        <w:pStyle w:val="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608ED">
        <w:rPr>
          <w:sz w:val="28"/>
          <w:szCs w:val="28"/>
        </w:rPr>
        <w:t xml:space="preserve">Установлены требования к ящикам для сбора </w:t>
      </w:r>
    </w:p>
    <w:p w:rsidR="005D4887" w:rsidRPr="00B608ED" w:rsidRDefault="005D4887" w:rsidP="005D4887">
      <w:pPr>
        <w:pStyle w:val="2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B608ED">
        <w:rPr>
          <w:sz w:val="28"/>
          <w:szCs w:val="28"/>
        </w:rPr>
        <w:t>благотворительных пожертвований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  <w:shd w:val="clear" w:color="auto" w:fill="FFFFFF"/>
        </w:rPr>
        <w:t>01.10.2020 принято постановление Правительства РФ № 1584 "Об утверждении требований к ящикам для сбора благотворительных пожертвований, порядка их установки, использования и извлечения имущества, собранного с их помощью".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608ED">
        <w:rPr>
          <w:sz w:val="28"/>
          <w:szCs w:val="28"/>
          <w:shd w:val="clear" w:color="auto" w:fill="FFFFFF"/>
        </w:rPr>
        <w:t>Данным документом установлено, что ящик для сбора пожертвований устанавливается некоммерческой организацией, учредительными документами которой предусмотрено право на осуществление благотворительной деятельности, в доступном месте, позволяющем внести пожертвование.</w:t>
      </w:r>
    </w:p>
    <w:p w:rsidR="005D4887" w:rsidRPr="00B608ED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608ED">
        <w:rPr>
          <w:sz w:val="28"/>
          <w:szCs w:val="28"/>
          <w:shd w:val="clear" w:color="auto" w:fill="FFFFFF"/>
        </w:rPr>
        <w:t>Ящику для сбора пожертвований должен быть присвоен инвентарный номер, и сам ящик должен быть оснащен следующей информацией: сведения об организации, которая собирает пожертвования (наименование, почтовый адрес, ИНН, номер счета); наименование программы или иного документа, в соответствии с которым будет проводиться сбор пожертвований; доменное имя и (или) сетевой адрес официального сайта организации в информационно-телекоммуникационной сети "Интернет" (при наличии);</w:t>
      </w:r>
      <w:proofErr w:type="gramEnd"/>
      <w:r w:rsidRPr="00B608ED">
        <w:rPr>
          <w:sz w:val="28"/>
          <w:szCs w:val="28"/>
          <w:shd w:val="clear" w:color="auto" w:fill="FFFFFF"/>
        </w:rPr>
        <w:t xml:space="preserve"> контактные данные, по которым благотворитель может получить информацию.</w:t>
      </w:r>
    </w:p>
    <w:p w:rsidR="005D4887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608ED">
        <w:rPr>
          <w:sz w:val="28"/>
          <w:szCs w:val="28"/>
          <w:shd w:val="clear" w:color="auto" w:fill="FFFFFF"/>
        </w:rPr>
        <w:t xml:space="preserve">Переносной ящик может использоваться волонтером или сотрудником организации, который имеет доверенность или договор с организацией. </w:t>
      </w:r>
    </w:p>
    <w:p w:rsidR="005D4887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608ED">
        <w:rPr>
          <w:sz w:val="28"/>
          <w:szCs w:val="28"/>
          <w:shd w:val="clear" w:color="auto" w:fill="FFFFFF"/>
        </w:rPr>
        <w:t>Стационарный ящик должен быть установлен таким образом, чтобы возможность его перемещения была максимально ограничена для посторонних лиц.</w:t>
      </w:r>
      <w:r>
        <w:rPr>
          <w:sz w:val="28"/>
          <w:szCs w:val="28"/>
        </w:rPr>
        <w:t xml:space="preserve">  П</w:t>
      </w:r>
      <w:r w:rsidRPr="00B608ED">
        <w:rPr>
          <w:sz w:val="28"/>
          <w:szCs w:val="28"/>
          <w:shd w:val="clear" w:color="auto" w:fill="FFFFFF"/>
        </w:rPr>
        <w:t>остановление вступ</w:t>
      </w:r>
      <w:r>
        <w:rPr>
          <w:sz w:val="28"/>
          <w:szCs w:val="28"/>
          <w:shd w:val="clear" w:color="auto" w:fill="FFFFFF"/>
        </w:rPr>
        <w:t xml:space="preserve">ило </w:t>
      </w:r>
      <w:r w:rsidRPr="00B608ED">
        <w:rPr>
          <w:sz w:val="28"/>
          <w:szCs w:val="28"/>
          <w:shd w:val="clear" w:color="auto" w:fill="FFFFFF"/>
        </w:rPr>
        <w:t>в силу с 5 октября 2020 г</w:t>
      </w:r>
      <w:r>
        <w:rPr>
          <w:sz w:val="28"/>
          <w:szCs w:val="28"/>
          <w:shd w:val="clear" w:color="auto" w:fill="FFFFFF"/>
        </w:rPr>
        <w:t>ода.</w:t>
      </w:r>
    </w:p>
    <w:p w:rsidR="005D4887" w:rsidRPr="00E00CFB" w:rsidRDefault="005D4887" w:rsidP="005D488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D4887" w:rsidRDefault="005D4887" w:rsidP="005D4887">
      <w:pPr>
        <w:spacing w:line="240" w:lineRule="exac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Барабинский</w:t>
      </w:r>
      <w:proofErr w:type="spellEnd"/>
      <w:r>
        <w:rPr>
          <w:rFonts w:cs="Times New Roman"/>
          <w:szCs w:val="28"/>
        </w:rPr>
        <w:t xml:space="preserve"> межрайонный прокурор</w:t>
      </w:r>
    </w:p>
    <w:p w:rsidR="005D4887" w:rsidRDefault="005D4887" w:rsidP="005D4887">
      <w:pPr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старший советник юстиции                                         П.А. </w:t>
      </w:r>
      <w:proofErr w:type="spellStart"/>
      <w:r>
        <w:rPr>
          <w:rFonts w:cs="Times New Roman"/>
          <w:szCs w:val="28"/>
        </w:rPr>
        <w:t>Ромащенко</w:t>
      </w:r>
      <w:proofErr w:type="spellEnd"/>
    </w:p>
    <w:p w:rsidR="00D628B6" w:rsidRDefault="00D628B6"/>
    <w:sectPr w:rsidR="00D628B6" w:rsidSect="00D6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A43"/>
    <w:multiLevelType w:val="hybridMultilevel"/>
    <w:tmpl w:val="6A92BC28"/>
    <w:lvl w:ilvl="0" w:tplc="8F9CE7F6">
      <w:start w:val="1"/>
      <w:numFmt w:val="decimal"/>
      <w:lvlText w:val="%1."/>
      <w:lvlJc w:val="left"/>
      <w:pPr>
        <w:ind w:left="899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B2D17"/>
    <w:multiLevelType w:val="hybridMultilevel"/>
    <w:tmpl w:val="87D4728E"/>
    <w:lvl w:ilvl="0" w:tplc="6C821F5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887"/>
    <w:rsid w:val="00060F4A"/>
    <w:rsid w:val="005D4887"/>
    <w:rsid w:val="00D6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7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2">
    <w:name w:val="heading 2"/>
    <w:basedOn w:val="a"/>
    <w:link w:val="20"/>
    <w:uiPriority w:val="9"/>
    <w:qFormat/>
    <w:rsid w:val="005D4887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87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D4887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D48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D4887"/>
    <w:pPr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5D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D488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2483</Words>
  <Characters>14154</Characters>
  <Application>Microsoft Office Word</Application>
  <DocSecurity>0</DocSecurity>
  <Lines>117</Lines>
  <Paragraphs>33</Paragraphs>
  <ScaleCrop>false</ScaleCrop>
  <Company>Home</Company>
  <LinksUpToDate>false</LinksUpToDate>
  <CharactersWithSpaces>16604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2020-10-20T08:24:00Z</dcterms:created>
  <dcterms:modified xsi:type="dcterms:W3CDTF">2020-10-20T08:34:00Z</dcterms:modified>
</cp:coreProperties>
</file>